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7E" w:rsidRDefault="00C15D7E" w:rsidP="00C15D7E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Звіт </w:t>
      </w:r>
    </w:p>
    <w:p w:rsidR="00C15D7E" w:rsidRDefault="00C15D7E" w:rsidP="00C15D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базове відстеження результативності регуляторного </w:t>
      </w:r>
      <w:proofErr w:type="spellStart"/>
      <w:r>
        <w:rPr>
          <w:b/>
          <w:sz w:val="28"/>
          <w:szCs w:val="28"/>
          <w:lang w:val="uk-UA"/>
        </w:rPr>
        <w:t>акта</w:t>
      </w:r>
      <w:proofErr w:type="spellEnd"/>
      <w:r>
        <w:rPr>
          <w:b/>
          <w:sz w:val="28"/>
          <w:szCs w:val="28"/>
          <w:lang w:val="uk-UA"/>
        </w:rPr>
        <w:t xml:space="preserve"> – </w:t>
      </w:r>
    </w:p>
    <w:p w:rsidR="00C15D7E" w:rsidRDefault="00C15D7E" w:rsidP="00C15D7E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від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30.06.2021 №6 «Про встановлення ставок та пільг із сплати земельного податку 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Широківській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C15D7E" w:rsidRDefault="00C15D7E" w:rsidP="00C15D7E">
      <w:pPr>
        <w:jc w:val="center"/>
        <w:rPr>
          <w:b/>
          <w:sz w:val="26"/>
          <w:szCs w:val="26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1427"/>
        <w:gridCol w:w="1276"/>
        <w:gridCol w:w="1275"/>
        <w:gridCol w:w="1276"/>
        <w:gridCol w:w="454"/>
      </w:tblGrid>
      <w:tr w:rsidR="00C15D7E" w:rsidRPr="00E40930" w:rsidTr="00C15D7E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 та назва регуляторного </w:t>
            </w:r>
            <w:proofErr w:type="spellStart"/>
            <w:r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 w:rsidP="00C15D7E">
            <w:pPr>
              <w:pStyle w:val="a3"/>
              <w:tabs>
                <w:tab w:val="left" w:pos="0"/>
              </w:tabs>
              <w:ind w:right="9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Про встановлення ставок та пільг із сплати земельного податку 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Широківській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сільській раді Запорізького району Запорізької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C15D7E" w:rsidTr="00C15D7E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виконавця заходів з 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та агропромислового комплексу </w:t>
            </w:r>
          </w:p>
        </w:tc>
      </w:tr>
      <w:tr w:rsidR="00C15D7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Цілі прийняття </w:t>
            </w:r>
            <w:proofErr w:type="spellStart"/>
            <w:r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 Забезпечення дотримання вимог діючого законодавства щодо ставок земельного податку;</w:t>
            </w:r>
          </w:p>
          <w:p w:rsidR="00C15D7E" w:rsidRDefault="00C15D7E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 збільшення надходжень земельного податку;</w:t>
            </w:r>
          </w:p>
          <w:p w:rsidR="00C15D7E" w:rsidRDefault="00C15D7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 розширення кола платників земельного  податку</w:t>
            </w:r>
          </w:p>
        </w:tc>
      </w:tr>
      <w:tr w:rsidR="00C15D7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01.01.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20  </w:t>
            </w:r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31.05.2021 року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C15D7E" w:rsidRDefault="00C15D7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D7E" w:rsidTr="00C15D7E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Тип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Базове</w:t>
            </w:r>
          </w:p>
          <w:p w:rsidR="00C15D7E" w:rsidRDefault="00C15D7E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D7E" w:rsidTr="00C15D7E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Порівняльний аналіз надходження земельного податку за </w:t>
            </w:r>
            <w:r>
              <w:rPr>
                <w:color w:val="000000"/>
                <w:sz w:val="24"/>
                <w:szCs w:val="24"/>
                <w:lang w:val="uk-UA"/>
              </w:rPr>
              <w:t>2022-2026</w:t>
            </w:r>
            <w:r>
              <w:rPr>
                <w:sz w:val="24"/>
                <w:szCs w:val="24"/>
                <w:lang w:val="uk-UA"/>
              </w:rPr>
              <w:t xml:space="preserve"> роки та відстеження обсягів надходжень до бюджету за відповідні роки</w:t>
            </w:r>
          </w:p>
        </w:tc>
      </w:tr>
      <w:tr w:rsidR="00C15D7E" w:rsidRPr="00E40930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spacing w:after="1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Дані та припущення, на основі яких відстежувалася результативність, а також способи одержання даних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встановлення кількісних показників результативності регуляторного акту використовувалась інформація Відділу фінансів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щодо надходжень плати за землю (земельного податку за земельні ділянки державної та комунальної власності) по юридичним та фізичним особам земельні ділянки, яких розташовані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Запорізького району Запорізької області</w:t>
            </w:r>
            <w:r>
              <w:rPr>
                <w:color w:val="000000"/>
                <w:sz w:val="24"/>
                <w:szCs w:val="24"/>
                <w:lang w:val="uk-UA"/>
              </w:rPr>
              <w:t>) за 2020-І квартал 2021 року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C15D7E" w:rsidTr="00C15D7E"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tabs>
                <w:tab w:val="left" w:pos="9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 квартал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5D7E" w:rsidTr="00C15D7E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E" w:rsidRDefault="00C15D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E" w:rsidRDefault="00C15D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C15D7E" w:rsidRDefault="00C15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Фактичні надходження земельного податку,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5D7E" w:rsidTr="00C15D7E">
        <w:trPr>
          <w:trHeight w:val="8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E" w:rsidRDefault="00C15D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7E" w:rsidRDefault="00C15D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jc w:val="both"/>
              <w:rPr>
                <w:lang w:val="uk-UA"/>
              </w:rPr>
            </w:pPr>
          </w:p>
        </w:tc>
      </w:tr>
      <w:tr w:rsidR="00C15D7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Оцінка результатів реалізації регуляторного </w:t>
            </w:r>
            <w:proofErr w:type="spellStart"/>
            <w:r>
              <w:rPr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7E" w:rsidRDefault="00C15D7E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Реалізація даного рішення дає змогу забезпечити дотримання вимог діючого законодавства щодо ставок земельного податку та досягти прозорості та відкритості дій органу місцевого самоврядування при </w:t>
            </w:r>
            <w:r>
              <w:rPr>
                <w:sz w:val="24"/>
                <w:szCs w:val="24"/>
                <w:lang w:val="uk-UA"/>
              </w:rPr>
              <w:lastRenderedPageBreak/>
              <w:t>вирішенні питань, пов’язаних зі справлянням земельного податку.</w:t>
            </w:r>
          </w:p>
          <w:p w:rsidR="00C15D7E" w:rsidRDefault="00C15D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Аналіз звіту регуляторного </w:t>
            </w:r>
            <w:proofErr w:type="spellStart"/>
            <w:r>
              <w:rPr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свідчить про те, що дане рішення є актуальним, не потребує внесення змін </w:t>
            </w:r>
          </w:p>
        </w:tc>
      </w:tr>
    </w:tbl>
    <w:p w:rsidR="00C15D7E" w:rsidRDefault="00C15D7E" w:rsidP="00C15D7E">
      <w:pPr>
        <w:jc w:val="both"/>
        <w:rPr>
          <w:b/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  <w:r>
        <w:rPr>
          <w:color w:val="111111"/>
          <w:sz w:val="27"/>
          <w:szCs w:val="27"/>
          <w:lang w:val="uk-UA"/>
        </w:rPr>
        <w:t xml:space="preserve">Сільський голова            </w:t>
      </w:r>
      <w:r>
        <w:rPr>
          <w:color w:val="111111"/>
          <w:sz w:val="27"/>
          <w:szCs w:val="27"/>
          <w:lang w:val="uk-UA"/>
        </w:rPr>
        <w:t xml:space="preserve">                           </w:t>
      </w:r>
      <w:r>
        <w:rPr>
          <w:color w:val="111111"/>
          <w:sz w:val="27"/>
          <w:szCs w:val="27"/>
          <w:lang w:val="uk-UA"/>
        </w:rPr>
        <w:t xml:space="preserve">                            Денис КОРОТЕНКО</w:t>
      </w: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lang w:val="uk-UA"/>
        </w:rPr>
      </w:pPr>
    </w:p>
    <w:p w:rsidR="00444D95" w:rsidRDefault="00C15D7E">
      <w:pPr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</w:t>
      </w: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Pr="001B7B52" w:rsidRDefault="00C15D7E" w:rsidP="00C15D7E">
      <w:pPr>
        <w:jc w:val="center"/>
        <w:rPr>
          <w:b/>
          <w:caps/>
          <w:sz w:val="28"/>
          <w:szCs w:val="28"/>
          <w:lang w:val="uk-UA"/>
        </w:rPr>
      </w:pPr>
      <w:r w:rsidRPr="001B7B52">
        <w:rPr>
          <w:b/>
          <w:caps/>
          <w:sz w:val="28"/>
          <w:szCs w:val="28"/>
          <w:lang w:val="uk-UA"/>
        </w:rPr>
        <w:t xml:space="preserve">Звіт </w:t>
      </w:r>
    </w:p>
    <w:p w:rsidR="00C15D7E" w:rsidRPr="00F36663" w:rsidRDefault="00C15D7E" w:rsidP="00C15D7E">
      <w:pPr>
        <w:jc w:val="center"/>
        <w:rPr>
          <w:b/>
          <w:sz w:val="28"/>
          <w:szCs w:val="28"/>
          <w:lang w:val="uk-UA"/>
        </w:rPr>
      </w:pPr>
      <w:r w:rsidRPr="00F3666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повторне </w:t>
      </w:r>
      <w:r w:rsidRPr="00F36663">
        <w:rPr>
          <w:b/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F36663">
        <w:rPr>
          <w:b/>
          <w:sz w:val="28"/>
          <w:szCs w:val="28"/>
          <w:lang w:val="uk-UA"/>
        </w:rPr>
        <w:t>акт</w:t>
      </w:r>
      <w:r>
        <w:rPr>
          <w:b/>
          <w:sz w:val="28"/>
          <w:szCs w:val="28"/>
          <w:lang w:val="uk-UA"/>
        </w:rPr>
        <w:t>а</w:t>
      </w:r>
      <w:proofErr w:type="spellEnd"/>
      <w:r w:rsidRPr="00F36663">
        <w:rPr>
          <w:b/>
          <w:sz w:val="28"/>
          <w:szCs w:val="28"/>
          <w:lang w:val="uk-UA"/>
        </w:rPr>
        <w:t xml:space="preserve"> – </w:t>
      </w:r>
    </w:p>
    <w:p w:rsidR="00C15D7E" w:rsidRPr="004C7B72" w:rsidRDefault="00C15D7E" w:rsidP="00C15D7E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36663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F36663">
        <w:rPr>
          <w:rFonts w:ascii="Times New Roman" w:hAnsi="Times New Roman"/>
          <w:b/>
          <w:sz w:val="28"/>
          <w:szCs w:val="28"/>
          <w:lang w:val="uk-UA"/>
        </w:rPr>
        <w:t xml:space="preserve"> від </w:t>
      </w:r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30.06.2021 №6 «Про встановлення ставок та пільг із сплати земельного податку у </w:t>
      </w:r>
      <w:proofErr w:type="spellStart"/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>Широківській</w:t>
      </w:r>
      <w:proofErr w:type="spellEnd"/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C15D7E" w:rsidRPr="00991380" w:rsidRDefault="00C15D7E" w:rsidP="00C15D7E">
      <w:pPr>
        <w:jc w:val="center"/>
        <w:rPr>
          <w:b/>
          <w:sz w:val="26"/>
          <w:szCs w:val="26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1427"/>
        <w:gridCol w:w="1276"/>
        <w:gridCol w:w="1275"/>
        <w:gridCol w:w="1276"/>
        <w:gridCol w:w="454"/>
      </w:tblGrid>
      <w:tr w:rsidR="00C15D7E" w:rsidRPr="00E40930" w:rsidTr="00C15D7E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Вид та назва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Широківської</w:t>
            </w:r>
            <w:proofErr w:type="spellEnd"/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 «</w:t>
            </w:r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Про встановлення ставок та пільг із сплати земельного податку у </w:t>
            </w:r>
            <w:proofErr w:type="spellStart"/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Широківській</w:t>
            </w:r>
            <w:proofErr w:type="spellEnd"/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сільській раді Запорізького району Запорізької області</w:t>
            </w:r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C15D7E" w:rsidRPr="00D93DFE" w:rsidTr="00C15D7E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Назва виконавця заходів з 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та агропромислового комплексу </w:t>
            </w: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Цілі прийняття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Забезпечення дотримання вимог діючого законодавства щодо ставок земельного податку;</w:t>
            </w:r>
          </w:p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збільшення надходжень земельного податку;</w:t>
            </w:r>
          </w:p>
          <w:p w:rsidR="00C15D7E" w:rsidRPr="00956F7B" w:rsidRDefault="00C15D7E" w:rsidP="00BA1D2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розширення кола платників земельного  податку</w:t>
            </w: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</w:rPr>
            </w:pPr>
            <w:r w:rsidRPr="00956F7B">
              <w:rPr>
                <w:color w:val="000000"/>
                <w:sz w:val="24"/>
                <w:szCs w:val="24"/>
              </w:rPr>
              <w:t xml:space="preserve">З </w:t>
            </w:r>
            <w:proofErr w:type="gramStart"/>
            <w:r w:rsidRPr="00956F7B">
              <w:rPr>
                <w:color w:val="000000"/>
                <w:sz w:val="24"/>
                <w:szCs w:val="24"/>
                <w:lang w:val="uk-UA"/>
              </w:rPr>
              <w:t>01.01.</w:t>
            </w:r>
            <w:r w:rsidRPr="00956F7B">
              <w:rPr>
                <w:color w:val="000000"/>
                <w:sz w:val="24"/>
                <w:szCs w:val="24"/>
              </w:rPr>
              <w:t>20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22</w:t>
            </w:r>
            <w:r w:rsidRPr="00956F7B">
              <w:rPr>
                <w:color w:val="000000"/>
                <w:sz w:val="24"/>
                <w:szCs w:val="24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56F7B">
              <w:rPr>
                <w:color w:val="000000"/>
                <w:sz w:val="24"/>
                <w:szCs w:val="24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 xml:space="preserve"> 01.01.202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 xml:space="preserve"> року </w:t>
            </w:r>
            <w:r w:rsidRPr="00956F7B">
              <w:rPr>
                <w:color w:val="000000"/>
                <w:sz w:val="24"/>
                <w:szCs w:val="24"/>
              </w:rPr>
              <w:t xml:space="preserve">   </w:t>
            </w:r>
          </w:p>
          <w:p w:rsidR="00C15D7E" w:rsidRPr="00956F7B" w:rsidRDefault="00C15D7E" w:rsidP="00BA1D2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D7E" w:rsidRPr="00D93DFE" w:rsidTr="00C15D7E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Тип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Базове</w:t>
            </w:r>
          </w:p>
          <w:p w:rsidR="00C15D7E" w:rsidRPr="00D93DFE" w:rsidRDefault="00C15D7E" w:rsidP="00BA1D26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D7E" w:rsidRPr="00D93DFE" w:rsidTr="00C15D7E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4908C0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 w:rsidRPr="004908C0">
              <w:rPr>
                <w:sz w:val="24"/>
                <w:szCs w:val="24"/>
                <w:lang w:val="uk-UA"/>
              </w:rPr>
              <w:t xml:space="preserve">Порівняльний аналіз надходження </w:t>
            </w:r>
            <w:r>
              <w:rPr>
                <w:sz w:val="24"/>
                <w:szCs w:val="24"/>
                <w:lang w:val="uk-UA"/>
              </w:rPr>
              <w:t>земельного</w:t>
            </w:r>
            <w:r w:rsidRPr="004908C0">
              <w:rPr>
                <w:sz w:val="24"/>
                <w:szCs w:val="24"/>
                <w:lang w:val="uk-UA"/>
              </w:rPr>
              <w:t xml:space="preserve"> податку за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2022-2026</w:t>
            </w:r>
            <w:r w:rsidRPr="004908C0">
              <w:rPr>
                <w:sz w:val="24"/>
                <w:szCs w:val="24"/>
                <w:lang w:val="uk-UA"/>
              </w:rPr>
              <w:t xml:space="preserve"> роки та відстеження </w:t>
            </w:r>
            <w:r>
              <w:rPr>
                <w:sz w:val="24"/>
                <w:szCs w:val="24"/>
                <w:lang w:val="uk-UA"/>
              </w:rPr>
              <w:t>обсягів</w:t>
            </w:r>
            <w:r w:rsidRPr="004908C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надходжень до бюджету</w:t>
            </w:r>
            <w:r w:rsidRPr="004908C0">
              <w:rPr>
                <w:sz w:val="24"/>
                <w:szCs w:val="24"/>
                <w:lang w:val="uk-UA"/>
              </w:rPr>
              <w:t xml:space="preserve"> за відповідні роки</w:t>
            </w:r>
          </w:p>
        </w:tc>
      </w:tr>
      <w:tr w:rsidR="00C15D7E" w:rsidRPr="00E40930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Дан</w:t>
            </w:r>
            <w:r>
              <w:rPr>
                <w:sz w:val="24"/>
                <w:szCs w:val="24"/>
                <w:lang w:val="uk-UA"/>
              </w:rPr>
              <w:t xml:space="preserve">і та припущення, на основі яких </w:t>
            </w:r>
            <w:r w:rsidRPr="00D93DFE">
              <w:rPr>
                <w:sz w:val="24"/>
                <w:szCs w:val="24"/>
                <w:lang w:val="uk-UA"/>
              </w:rPr>
              <w:t>відстежувалася результативність, а також способи одержання даних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4908C0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встановлення кількісних </w:t>
            </w:r>
            <w:r w:rsidRPr="004908C0">
              <w:rPr>
                <w:sz w:val="24"/>
                <w:szCs w:val="24"/>
                <w:lang w:val="uk-UA"/>
              </w:rPr>
              <w:t>показників результативності регуляторного акт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4908C0">
              <w:rPr>
                <w:sz w:val="24"/>
                <w:szCs w:val="24"/>
                <w:lang w:val="uk-UA"/>
              </w:rPr>
              <w:t xml:space="preserve"> використовувал</w:t>
            </w:r>
            <w:r>
              <w:rPr>
                <w:sz w:val="24"/>
                <w:szCs w:val="24"/>
                <w:lang w:val="uk-UA"/>
              </w:rPr>
              <w:t>а</w:t>
            </w:r>
            <w:r w:rsidRPr="004908C0">
              <w:rPr>
                <w:sz w:val="24"/>
                <w:szCs w:val="24"/>
                <w:lang w:val="uk-UA"/>
              </w:rPr>
              <w:t xml:space="preserve">сь інформація </w:t>
            </w:r>
            <w:r>
              <w:rPr>
                <w:sz w:val="24"/>
                <w:szCs w:val="24"/>
                <w:lang w:val="uk-UA"/>
              </w:rPr>
              <w:t xml:space="preserve">Відділу фінансів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  <w:r w:rsidRPr="004908C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щодо надходжень плати за землю (земельного податку за земельні ділянки державної та комунальної власності) по юридичним та фізичним особам земельні ділянки, яких розташовані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Запорізького району Запорізької області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) за 2022-2025 роки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4908C0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C15D7E" w:rsidRPr="00D93DFE" w:rsidTr="00C15D7E"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tabs>
                <w:tab w:val="left" w:pos="936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5D7E" w:rsidRPr="00D93DFE" w:rsidTr="00C15D7E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Фактичні надходження земельного податку,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2 260,8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5D7E" w:rsidRPr="00D93DFE" w:rsidTr="00C15D7E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CC10B3" w:rsidRDefault="00C15D7E" w:rsidP="00BA1D26">
            <w:pPr>
              <w:jc w:val="both"/>
              <w:rPr>
                <w:lang w:val="uk-UA"/>
              </w:rPr>
            </w:pP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D93DFE">
              <w:rPr>
                <w:sz w:val="24"/>
                <w:szCs w:val="24"/>
                <w:lang w:val="uk-UA"/>
              </w:rPr>
              <w:t xml:space="preserve"> </w:t>
            </w:r>
          </w:p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Реалізація даного рішення дає змогу забезпечити дотримання вимог діючого законодавст</w:t>
            </w:r>
            <w:r>
              <w:rPr>
                <w:sz w:val="24"/>
                <w:szCs w:val="24"/>
                <w:lang w:val="uk-UA"/>
              </w:rPr>
              <w:t xml:space="preserve">ва щодо ставок земельного податку </w:t>
            </w:r>
            <w:r w:rsidRPr="00D93DFE">
              <w:rPr>
                <w:sz w:val="24"/>
                <w:szCs w:val="24"/>
                <w:lang w:val="uk-UA"/>
              </w:rPr>
              <w:t xml:space="preserve">та досягти прозорості та </w:t>
            </w:r>
            <w:r w:rsidRPr="00D93DFE">
              <w:rPr>
                <w:sz w:val="24"/>
                <w:szCs w:val="24"/>
                <w:lang w:val="uk-UA"/>
              </w:rPr>
              <w:lastRenderedPageBreak/>
              <w:t xml:space="preserve">відкритості дій органу місцевого самоврядування при вирішенні питань, пов’язаних зі справлянням </w:t>
            </w:r>
            <w:r>
              <w:rPr>
                <w:sz w:val="24"/>
                <w:szCs w:val="24"/>
                <w:lang w:val="uk-UA"/>
              </w:rPr>
              <w:t>земельного</w:t>
            </w:r>
            <w:r w:rsidRPr="00D93DFE">
              <w:rPr>
                <w:sz w:val="24"/>
                <w:szCs w:val="24"/>
                <w:lang w:val="uk-UA"/>
              </w:rPr>
              <w:t xml:space="preserve"> податку.</w:t>
            </w:r>
          </w:p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Аналіз звіту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D93DFE">
              <w:rPr>
                <w:sz w:val="24"/>
                <w:szCs w:val="24"/>
                <w:lang w:val="uk-UA"/>
              </w:rPr>
              <w:t xml:space="preserve"> свідчить про те, що дане рішення є актуальним</w:t>
            </w:r>
            <w:r>
              <w:rPr>
                <w:sz w:val="24"/>
                <w:szCs w:val="24"/>
                <w:lang w:val="uk-UA"/>
              </w:rPr>
              <w:t>, не потребує внесення</w:t>
            </w:r>
            <w:r w:rsidRPr="00D93DF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змін </w:t>
            </w:r>
          </w:p>
        </w:tc>
      </w:tr>
    </w:tbl>
    <w:p w:rsidR="00C15D7E" w:rsidRPr="000B0B8F" w:rsidRDefault="00C15D7E" w:rsidP="00C15D7E">
      <w:pPr>
        <w:jc w:val="both"/>
        <w:rPr>
          <w:b/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  <w:r>
        <w:rPr>
          <w:color w:val="111111"/>
          <w:sz w:val="27"/>
          <w:szCs w:val="27"/>
          <w:lang w:val="uk-UA"/>
        </w:rPr>
        <w:t xml:space="preserve">Сільський голова                                     </w:t>
      </w:r>
      <w:r>
        <w:rPr>
          <w:color w:val="111111"/>
          <w:sz w:val="27"/>
          <w:szCs w:val="27"/>
          <w:lang w:val="uk-UA"/>
        </w:rPr>
        <w:t xml:space="preserve">                           </w:t>
      </w:r>
      <w:bookmarkStart w:id="0" w:name="_GoBack"/>
      <w:bookmarkEnd w:id="0"/>
      <w:r>
        <w:rPr>
          <w:color w:val="111111"/>
          <w:sz w:val="27"/>
          <w:szCs w:val="27"/>
          <w:lang w:val="uk-UA"/>
        </w:rPr>
        <w:t xml:space="preserve">   Денис КОРОТЕНКО</w:t>
      </w: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E40930" w:rsidRDefault="00E40930" w:rsidP="00E40930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Pr="00351231" w:rsidRDefault="00C15D7E" w:rsidP="00C15D7E">
      <w:pPr>
        <w:jc w:val="both"/>
        <w:rPr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Pr="001B7B52" w:rsidRDefault="00C15D7E" w:rsidP="00C15D7E">
      <w:pPr>
        <w:jc w:val="center"/>
        <w:rPr>
          <w:b/>
          <w:caps/>
          <w:sz w:val="28"/>
          <w:szCs w:val="28"/>
          <w:lang w:val="uk-UA"/>
        </w:rPr>
      </w:pPr>
      <w:r w:rsidRPr="001B7B52">
        <w:rPr>
          <w:b/>
          <w:caps/>
          <w:sz w:val="28"/>
          <w:szCs w:val="28"/>
          <w:lang w:val="uk-UA"/>
        </w:rPr>
        <w:t xml:space="preserve">Звіт </w:t>
      </w:r>
    </w:p>
    <w:p w:rsidR="00C15D7E" w:rsidRPr="00F36663" w:rsidRDefault="00C15D7E" w:rsidP="00C15D7E">
      <w:pPr>
        <w:jc w:val="center"/>
        <w:rPr>
          <w:b/>
          <w:sz w:val="28"/>
          <w:szCs w:val="28"/>
          <w:lang w:val="uk-UA"/>
        </w:rPr>
      </w:pPr>
      <w:r w:rsidRPr="00F3666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періодичне </w:t>
      </w:r>
      <w:r w:rsidRPr="00F36663">
        <w:rPr>
          <w:b/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F36663">
        <w:rPr>
          <w:b/>
          <w:sz w:val="28"/>
          <w:szCs w:val="28"/>
          <w:lang w:val="uk-UA"/>
        </w:rPr>
        <w:t>акт</w:t>
      </w:r>
      <w:r>
        <w:rPr>
          <w:b/>
          <w:sz w:val="28"/>
          <w:szCs w:val="28"/>
          <w:lang w:val="uk-UA"/>
        </w:rPr>
        <w:t>а</w:t>
      </w:r>
      <w:proofErr w:type="spellEnd"/>
      <w:r w:rsidRPr="00F36663">
        <w:rPr>
          <w:b/>
          <w:sz w:val="28"/>
          <w:szCs w:val="28"/>
          <w:lang w:val="uk-UA"/>
        </w:rPr>
        <w:t xml:space="preserve"> – </w:t>
      </w:r>
    </w:p>
    <w:p w:rsidR="00C15D7E" w:rsidRPr="004C7B72" w:rsidRDefault="00C15D7E" w:rsidP="00C15D7E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36663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F36663">
        <w:rPr>
          <w:rFonts w:ascii="Times New Roman" w:hAnsi="Times New Roman"/>
          <w:b/>
          <w:sz w:val="28"/>
          <w:szCs w:val="28"/>
          <w:lang w:val="uk-UA"/>
        </w:rPr>
        <w:t xml:space="preserve"> від </w:t>
      </w:r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30.06.2021 №6 «Про встановлення ставок та пільг із сплати земельного податку у </w:t>
      </w:r>
      <w:proofErr w:type="spellStart"/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>Широківській</w:t>
      </w:r>
      <w:proofErr w:type="spellEnd"/>
      <w:r w:rsidRPr="00956F7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C15D7E" w:rsidRPr="00991380" w:rsidRDefault="00C15D7E" w:rsidP="00C15D7E">
      <w:pPr>
        <w:jc w:val="center"/>
        <w:rPr>
          <w:b/>
          <w:sz w:val="26"/>
          <w:szCs w:val="26"/>
          <w:lang w:val="uk-UA"/>
        </w:rPr>
      </w:pP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1427"/>
        <w:gridCol w:w="1276"/>
        <w:gridCol w:w="1275"/>
        <w:gridCol w:w="1276"/>
        <w:gridCol w:w="312"/>
      </w:tblGrid>
      <w:tr w:rsidR="00C15D7E" w:rsidRPr="00E40930" w:rsidTr="00C15D7E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Вид та назва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Широківської</w:t>
            </w:r>
            <w:proofErr w:type="spellEnd"/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 «</w:t>
            </w:r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Про встановлення ставок та пільг із сплати земельного податку у </w:t>
            </w:r>
            <w:proofErr w:type="spellStart"/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Широківській</w:t>
            </w:r>
            <w:proofErr w:type="spellEnd"/>
            <w:r w:rsidRPr="00956F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сільській раді Запорізького району Запорізької області</w:t>
            </w:r>
            <w:r w:rsidRPr="00956F7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C15D7E" w:rsidRPr="00D93DFE" w:rsidTr="00C15D7E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Назва виконавця заходів з  відстеження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та агропромислового комплексу </w:t>
            </w: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Цілі прийняття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Забезпечення дотримання вимог діючого законодавства щодо ставок земельного податку;</w:t>
            </w:r>
          </w:p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збільшення надходжень земельного податку;</w:t>
            </w:r>
          </w:p>
          <w:p w:rsidR="00C15D7E" w:rsidRPr="00956F7B" w:rsidRDefault="00C15D7E" w:rsidP="00BA1D2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56F7B">
              <w:rPr>
                <w:color w:val="000000"/>
                <w:sz w:val="24"/>
                <w:szCs w:val="24"/>
                <w:lang w:val="uk-UA"/>
              </w:rPr>
              <w:t>- розширення кола платників земельного  податку</w:t>
            </w: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956F7B" w:rsidRDefault="00C15D7E" w:rsidP="00BA1D26">
            <w:pPr>
              <w:tabs>
                <w:tab w:val="left" w:pos="9360"/>
              </w:tabs>
              <w:jc w:val="both"/>
              <w:rPr>
                <w:color w:val="000000"/>
                <w:sz w:val="24"/>
                <w:szCs w:val="24"/>
              </w:rPr>
            </w:pPr>
            <w:r w:rsidRPr="00956F7B">
              <w:rPr>
                <w:color w:val="000000"/>
                <w:sz w:val="24"/>
                <w:szCs w:val="24"/>
              </w:rPr>
              <w:t xml:space="preserve">З </w:t>
            </w:r>
            <w:proofErr w:type="gramStart"/>
            <w:r w:rsidRPr="00956F7B">
              <w:rPr>
                <w:color w:val="000000"/>
                <w:sz w:val="24"/>
                <w:szCs w:val="24"/>
                <w:lang w:val="uk-UA"/>
              </w:rPr>
              <w:t>01.01.</w:t>
            </w:r>
            <w:r w:rsidRPr="00956F7B">
              <w:rPr>
                <w:color w:val="000000"/>
                <w:sz w:val="24"/>
                <w:szCs w:val="24"/>
              </w:rPr>
              <w:t>20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22</w:t>
            </w:r>
            <w:r w:rsidRPr="00956F7B">
              <w:rPr>
                <w:color w:val="000000"/>
                <w:sz w:val="24"/>
                <w:szCs w:val="24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56F7B">
              <w:rPr>
                <w:color w:val="000000"/>
                <w:sz w:val="24"/>
                <w:szCs w:val="24"/>
              </w:rPr>
              <w:t xml:space="preserve">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 xml:space="preserve"> 01.01.2026 року </w:t>
            </w:r>
            <w:r w:rsidRPr="00956F7B">
              <w:rPr>
                <w:color w:val="000000"/>
                <w:sz w:val="24"/>
                <w:szCs w:val="24"/>
              </w:rPr>
              <w:t xml:space="preserve">   </w:t>
            </w:r>
          </w:p>
          <w:p w:rsidR="00C15D7E" w:rsidRPr="00956F7B" w:rsidRDefault="00C15D7E" w:rsidP="00BA1D2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D7E" w:rsidRPr="00D93DFE" w:rsidTr="00C15D7E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Тип відстеження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Базове</w:t>
            </w:r>
          </w:p>
          <w:p w:rsidR="00C15D7E" w:rsidRPr="00D93DFE" w:rsidRDefault="00C15D7E" w:rsidP="00BA1D26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D7E" w:rsidRPr="00D93DFE" w:rsidTr="00C15D7E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4908C0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 w:rsidRPr="004908C0">
              <w:rPr>
                <w:sz w:val="24"/>
                <w:szCs w:val="24"/>
                <w:lang w:val="uk-UA"/>
              </w:rPr>
              <w:t xml:space="preserve">Порівняльний аналіз надходження </w:t>
            </w:r>
            <w:r>
              <w:rPr>
                <w:sz w:val="24"/>
                <w:szCs w:val="24"/>
                <w:lang w:val="uk-UA"/>
              </w:rPr>
              <w:t>земельного</w:t>
            </w:r>
            <w:r w:rsidRPr="004908C0">
              <w:rPr>
                <w:sz w:val="24"/>
                <w:szCs w:val="24"/>
                <w:lang w:val="uk-UA"/>
              </w:rPr>
              <w:t xml:space="preserve"> податку за 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2022-2026</w:t>
            </w:r>
            <w:r w:rsidRPr="004908C0">
              <w:rPr>
                <w:sz w:val="24"/>
                <w:szCs w:val="24"/>
                <w:lang w:val="uk-UA"/>
              </w:rPr>
              <w:t xml:space="preserve"> роки та відстеження </w:t>
            </w:r>
            <w:r>
              <w:rPr>
                <w:sz w:val="24"/>
                <w:szCs w:val="24"/>
                <w:lang w:val="uk-UA"/>
              </w:rPr>
              <w:t>обсягів</w:t>
            </w:r>
            <w:r w:rsidRPr="004908C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надходжень до бюджету</w:t>
            </w:r>
            <w:r w:rsidRPr="004908C0">
              <w:rPr>
                <w:sz w:val="24"/>
                <w:szCs w:val="24"/>
                <w:lang w:val="uk-UA"/>
              </w:rPr>
              <w:t xml:space="preserve"> за відповідні роки</w:t>
            </w:r>
          </w:p>
        </w:tc>
      </w:tr>
      <w:tr w:rsidR="00C15D7E" w:rsidRPr="00E40930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spacing w:after="120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Дан</w:t>
            </w:r>
            <w:r>
              <w:rPr>
                <w:sz w:val="24"/>
                <w:szCs w:val="24"/>
                <w:lang w:val="uk-UA"/>
              </w:rPr>
              <w:t xml:space="preserve">і та припущення, на основі яких </w:t>
            </w:r>
            <w:r w:rsidRPr="00D93DFE">
              <w:rPr>
                <w:sz w:val="24"/>
                <w:szCs w:val="24"/>
                <w:lang w:val="uk-UA"/>
              </w:rPr>
              <w:t>відстежувалася результативність, а також способи одержання даних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4908C0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встановлення кількісних </w:t>
            </w:r>
            <w:r w:rsidRPr="004908C0">
              <w:rPr>
                <w:sz w:val="24"/>
                <w:szCs w:val="24"/>
                <w:lang w:val="uk-UA"/>
              </w:rPr>
              <w:t>показників результативності регуляторного акт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4908C0">
              <w:rPr>
                <w:sz w:val="24"/>
                <w:szCs w:val="24"/>
                <w:lang w:val="uk-UA"/>
              </w:rPr>
              <w:t xml:space="preserve"> використовувал</w:t>
            </w:r>
            <w:r>
              <w:rPr>
                <w:sz w:val="24"/>
                <w:szCs w:val="24"/>
                <w:lang w:val="uk-UA"/>
              </w:rPr>
              <w:t>а</w:t>
            </w:r>
            <w:r w:rsidRPr="004908C0">
              <w:rPr>
                <w:sz w:val="24"/>
                <w:szCs w:val="24"/>
                <w:lang w:val="uk-UA"/>
              </w:rPr>
              <w:t xml:space="preserve">сь інформація </w:t>
            </w:r>
            <w:r>
              <w:rPr>
                <w:sz w:val="24"/>
                <w:szCs w:val="24"/>
                <w:lang w:val="uk-UA"/>
              </w:rPr>
              <w:t xml:space="preserve">Відділу фінансів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  <w:r w:rsidRPr="004908C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щодо надходжень плати за землю (земельного податку за земельні ділянки державної та комунальної власності) по юридичним та фізичним особам земельні ділянки, яких розташовані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Запорізького району Запорізької області</w:t>
            </w:r>
            <w:r w:rsidRPr="00956F7B">
              <w:rPr>
                <w:color w:val="000000"/>
                <w:sz w:val="24"/>
                <w:szCs w:val="24"/>
                <w:lang w:val="uk-UA"/>
              </w:rPr>
              <w:t>) за 2022-2025 роки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4908C0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C15D7E" w:rsidRPr="00D93DFE" w:rsidTr="00C15D7E"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tabs>
                <w:tab w:val="left" w:pos="936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tabs>
                <w:tab w:val="left" w:pos="936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0401E0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</w:tr>
      <w:tr w:rsidR="00C15D7E" w:rsidRPr="00D93DFE" w:rsidTr="00C15D7E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Фактичні надходження земельного податку,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2 260,8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3 876,9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Default="00C15D7E" w:rsidP="00BA1D2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5D7E" w:rsidRPr="000401E0" w:rsidRDefault="00C15D7E" w:rsidP="00BA1D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3 939,7</w:t>
            </w:r>
          </w:p>
        </w:tc>
      </w:tr>
      <w:tr w:rsidR="00C15D7E" w:rsidRPr="00D93DFE" w:rsidTr="00C15D7E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CC10B3" w:rsidRDefault="00C15D7E" w:rsidP="00BA1D26">
            <w:pPr>
              <w:jc w:val="both"/>
              <w:rPr>
                <w:lang w:val="uk-UA"/>
              </w:rPr>
            </w:pPr>
            <w:r w:rsidRPr="000401E0">
              <w:rPr>
                <w:sz w:val="24"/>
                <w:szCs w:val="24"/>
                <w:lang w:val="uk-UA"/>
              </w:rPr>
              <w:t>За</w:t>
            </w:r>
            <w:r w:rsidRPr="000401E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401E0">
              <w:rPr>
                <w:sz w:val="24"/>
                <w:szCs w:val="24"/>
                <w:lang w:val="uk-UA"/>
              </w:rPr>
              <w:t>звітними даними відстежується збільшення обсягу надходжень плати за землю</w:t>
            </w:r>
            <w:r w:rsidRPr="00884F92">
              <w:rPr>
                <w:sz w:val="24"/>
                <w:szCs w:val="24"/>
                <w:lang w:val="uk-UA"/>
              </w:rPr>
              <w:t xml:space="preserve"> на </w:t>
            </w:r>
            <w:r>
              <w:rPr>
                <w:sz w:val="24"/>
                <w:szCs w:val="24"/>
                <w:lang w:val="uk-UA"/>
              </w:rPr>
              <w:t>1 678,9</w:t>
            </w:r>
            <w:r w:rsidRPr="00884F9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4F92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884F92">
              <w:rPr>
                <w:sz w:val="24"/>
                <w:szCs w:val="24"/>
                <w:lang w:val="uk-UA"/>
              </w:rPr>
              <w:t xml:space="preserve">. або на </w:t>
            </w:r>
            <w:r>
              <w:rPr>
                <w:sz w:val="24"/>
                <w:szCs w:val="24"/>
                <w:lang w:val="uk-UA"/>
              </w:rPr>
              <w:t>74</w:t>
            </w:r>
            <w:r w:rsidRPr="00884F92">
              <w:rPr>
                <w:sz w:val="24"/>
                <w:szCs w:val="24"/>
                <w:lang w:val="uk-UA"/>
              </w:rPr>
              <w:t>%. Надходження плати</w:t>
            </w:r>
            <w:r w:rsidRPr="000401E0">
              <w:rPr>
                <w:sz w:val="24"/>
                <w:szCs w:val="24"/>
                <w:lang w:val="uk-UA"/>
              </w:rPr>
              <w:t xml:space="preserve"> за землю по </w:t>
            </w:r>
            <w:proofErr w:type="spellStart"/>
            <w:r>
              <w:rPr>
                <w:sz w:val="24"/>
                <w:szCs w:val="24"/>
                <w:lang w:val="uk-UA"/>
              </w:rPr>
              <w:t>Широківській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сільській раді Запорізького району Запорізької області</w:t>
            </w:r>
          </w:p>
        </w:tc>
      </w:tr>
      <w:tr w:rsidR="00C15D7E" w:rsidRPr="00D93DFE" w:rsidTr="00C15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D93DFE">
              <w:rPr>
                <w:sz w:val="24"/>
                <w:szCs w:val="24"/>
                <w:lang w:val="uk-UA"/>
              </w:rPr>
              <w:t xml:space="preserve"> </w:t>
            </w:r>
          </w:p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E" w:rsidRPr="00D93DFE" w:rsidRDefault="00C15D7E" w:rsidP="00BA1D26">
            <w:pPr>
              <w:tabs>
                <w:tab w:val="left" w:pos="9360"/>
              </w:tabs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>Реалізація даного рішення дає змогу забезпечити дотримання вимог діючого законодавст</w:t>
            </w:r>
            <w:r>
              <w:rPr>
                <w:sz w:val="24"/>
                <w:szCs w:val="24"/>
                <w:lang w:val="uk-UA"/>
              </w:rPr>
              <w:t xml:space="preserve">ва щодо ставок земельного податку </w:t>
            </w:r>
            <w:r w:rsidRPr="00D93DFE">
              <w:rPr>
                <w:sz w:val="24"/>
                <w:szCs w:val="24"/>
                <w:lang w:val="uk-UA"/>
              </w:rPr>
              <w:t xml:space="preserve">та досягти прозорості та відкритості дій органу місцевого самоврядування при вирішенні питань, пов’язаних зі справлянням </w:t>
            </w:r>
            <w:r>
              <w:rPr>
                <w:sz w:val="24"/>
                <w:szCs w:val="24"/>
                <w:lang w:val="uk-UA"/>
              </w:rPr>
              <w:t>земельного</w:t>
            </w:r>
            <w:r w:rsidRPr="00D93DFE">
              <w:rPr>
                <w:sz w:val="24"/>
                <w:szCs w:val="24"/>
                <w:lang w:val="uk-UA"/>
              </w:rPr>
              <w:t xml:space="preserve"> податку.</w:t>
            </w:r>
          </w:p>
          <w:p w:rsidR="00C15D7E" w:rsidRPr="00D93DFE" w:rsidRDefault="00C15D7E" w:rsidP="00BA1D26">
            <w:pPr>
              <w:jc w:val="both"/>
              <w:rPr>
                <w:sz w:val="24"/>
                <w:szCs w:val="24"/>
                <w:lang w:val="uk-UA"/>
              </w:rPr>
            </w:pPr>
            <w:r w:rsidRPr="00D93DFE">
              <w:rPr>
                <w:sz w:val="24"/>
                <w:szCs w:val="24"/>
                <w:lang w:val="uk-UA"/>
              </w:rPr>
              <w:t xml:space="preserve">Аналіз звіту регуляторного </w:t>
            </w:r>
            <w:proofErr w:type="spellStart"/>
            <w:r w:rsidRPr="00D93DFE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D93DFE">
              <w:rPr>
                <w:sz w:val="24"/>
                <w:szCs w:val="24"/>
                <w:lang w:val="uk-UA"/>
              </w:rPr>
              <w:t xml:space="preserve"> свідчить про те, що дане рішення є актуальним</w:t>
            </w:r>
            <w:r>
              <w:rPr>
                <w:sz w:val="24"/>
                <w:szCs w:val="24"/>
                <w:lang w:val="uk-UA"/>
              </w:rPr>
              <w:t>, не потребує внесення</w:t>
            </w:r>
            <w:r w:rsidRPr="00D93DF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змін </w:t>
            </w:r>
          </w:p>
        </w:tc>
      </w:tr>
    </w:tbl>
    <w:p w:rsidR="00C15D7E" w:rsidRPr="000B0B8F" w:rsidRDefault="00C15D7E" w:rsidP="00C15D7E">
      <w:pPr>
        <w:jc w:val="both"/>
        <w:rPr>
          <w:b/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Default="00C15D7E" w:rsidP="00C15D7E">
      <w:pPr>
        <w:jc w:val="both"/>
        <w:rPr>
          <w:sz w:val="24"/>
          <w:szCs w:val="24"/>
          <w:lang w:val="uk-UA"/>
        </w:rPr>
      </w:pPr>
    </w:p>
    <w:p w:rsidR="00C15D7E" w:rsidRPr="00351231" w:rsidRDefault="00C15D7E" w:rsidP="00C15D7E">
      <w:pPr>
        <w:jc w:val="both"/>
        <w:rPr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>
      <w:pPr>
        <w:rPr>
          <w:b/>
          <w:caps/>
          <w:sz w:val="28"/>
          <w:szCs w:val="28"/>
          <w:lang w:val="uk-UA"/>
        </w:rPr>
      </w:pPr>
    </w:p>
    <w:p w:rsidR="00C15D7E" w:rsidRDefault="00C15D7E"/>
    <w:sectPr w:rsidR="00C15D7E" w:rsidSect="00535EA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60"/>
    <w:rsid w:val="00444D95"/>
    <w:rsid w:val="00535EAA"/>
    <w:rsid w:val="00C15D7E"/>
    <w:rsid w:val="00D07B60"/>
    <w:rsid w:val="00E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85C8-0FAC-4604-B3B8-CE02A7D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35EAA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535EA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1054</Words>
  <Characters>6010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2026-03-27T11:57:00Z</dcterms:created>
  <dcterms:modified xsi:type="dcterms:W3CDTF">2026-03-31T05:07:00Z</dcterms:modified>
</cp:coreProperties>
</file>